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99ED0" w14:textId="77777777" w:rsidR="00E6741F" w:rsidRPr="00385DA6" w:rsidRDefault="00E6741F" w:rsidP="00866C08">
      <w:pPr>
        <w:pStyle w:val="articletitleCPMFF"/>
        <w:rPr>
          <w:bCs/>
          <w:kern w:val="36"/>
          <w:lang w:val="en-US"/>
        </w:rPr>
      </w:pPr>
      <w:bookmarkStart w:id="0" w:name="c.wor1720625.8"/>
      <w:bookmarkStart w:id="1" w:name="c.wor1620285.23"/>
      <w:bookmarkStart w:id="2" w:name="c.wor1620205.22"/>
      <w:bookmarkStart w:id="3" w:name="c.dal17514.2"/>
      <w:r w:rsidRPr="00667B8C">
        <w:t>Deemed dividend rules: new 10-year loan model</w:t>
      </w:r>
    </w:p>
    <w:bookmarkEnd w:id="0"/>
    <w:bookmarkEnd w:id="1"/>
    <w:bookmarkEnd w:id="2"/>
    <w:bookmarkEnd w:id="3"/>
    <w:p w14:paraId="5B051E35" w14:textId="10AEBF33" w:rsidR="00E6741F" w:rsidRPr="0033070E" w:rsidRDefault="00E6741F" w:rsidP="00AF69B8">
      <w:pPr>
        <w:pStyle w:val="bodyCPMFF"/>
      </w:pPr>
      <w:r w:rsidRPr="00866C08">
        <w:t>The government is acting to simplify the</w:t>
      </w:r>
      <w:r w:rsidRPr="007D06A0">
        <w:t xml:space="preserve"> Division 7A rules that govern deemed dividends, proposing a </w:t>
      </w:r>
      <w:r>
        <w:t>new</w:t>
      </w:r>
      <w:r w:rsidRPr="007D06A0">
        <w:t xml:space="preserve"> 10-year loan model for compliant loans. Significantly, companies</w:t>
      </w:r>
      <w:r>
        <w:t xml:space="preserve"> with existing loans would</w:t>
      </w:r>
      <w:r w:rsidRPr="007D06A0">
        <w:t xml:space="preserve"> be forced to transition to the new model, which also includes a considerably higher benchmark interest rate. </w:t>
      </w:r>
    </w:p>
    <w:p w14:paraId="2A20FDEA" w14:textId="1503E274" w:rsidR="00E6741F" w:rsidRDefault="00E6741F" w:rsidP="00AF69B8">
      <w:pPr>
        <w:pStyle w:val="bodyCPMFF"/>
      </w:pPr>
      <w:r w:rsidRPr="00866C08">
        <w:t>Division 7A is a long-standing tax integrity</w:t>
      </w:r>
      <w:r>
        <w:t xml:space="preserve"> measure that treats certain payments by private companies to shareholders or their associates as unfranked “dividends” for tax purposes. Those deemed dividends are then assessable income of the recipient and taxed at the recipient’s marginal tax rate. </w:t>
      </w:r>
    </w:p>
    <w:p w14:paraId="4EB9CD41" w14:textId="77777777" w:rsidR="00E6741F" w:rsidRDefault="00E6741F" w:rsidP="00AF69B8">
      <w:pPr>
        <w:pStyle w:val="bodyCPMFF"/>
      </w:pPr>
      <w:r>
        <w:t xml:space="preserve">Current laws include an important exception to these rules: a payment is not treated as a dividend if it is converted into a loan that meets certain requirements, including a minimum statutory interest rate, certain minimum annual repayments and a maximum loan term of either </w:t>
      </w:r>
      <w:r w:rsidRPr="00170BD6">
        <w:t>25 years for a loan secured by a register</w:t>
      </w:r>
      <w:r>
        <w:t>ed mortgage over real estate, or seven years in any other case.</w:t>
      </w:r>
    </w:p>
    <w:p w14:paraId="490408E2" w14:textId="77777777" w:rsidR="00E6741F" w:rsidRDefault="00E6741F" w:rsidP="00AF69B8">
      <w:pPr>
        <w:pStyle w:val="bodyCPMFF"/>
      </w:pPr>
      <w:r>
        <w:t>To simplify the rules for Division 7A-compliant loans and better align them to commercial practice, the government proposes to reform the laws from 1 July 2019 so that a compliant loan would instead be required to meet the following:</w:t>
      </w:r>
    </w:p>
    <w:p w14:paraId="3AD5B0E0" w14:textId="77777777" w:rsidR="00E6741F" w:rsidRDefault="00E6741F" w:rsidP="00AF69B8">
      <w:pPr>
        <w:pStyle w:val="bullets1CPMFF"/>
      </w:pPr>
      <w:r w:rsidRPr="0073650F">
        <w:t>a maximum loan term of 10 years</w:t>
      </w:r>
      <w:r>
        <w:t xml:space="preserve"> – regardless of whether the loan is secured;</w:t>
      </w:r>
    </w:p>
    <w:p w14:paraId="32EF54FF" w14:textId="77777777" w:rsidR="00E6741F" w:rsidRDefault="00E6741F" w:rsidP="00AF69B8">
      <w:pPr>
        <w:pStyle w:val="bullets1CPMFF"/>
      </w:pPr>
      <w:r>
        <w:t>a different benchmark interest rate that is considerably higher than the current benchmark; and</w:t>
      </w:r>
    </w:p>
    <w:p w14:paraId="229C8963" w14:textId="77777777" w:rsidR="00E6741F" w:rsidRPr="0073650F" w:rsidRDefault="00E6741F" w:rsidP="00AF69B8">
      <w:pPr>
        <w:pStyle w:val="bullets1CPMFF"/>
      </w:pPr>
      <w:r>
        <w:t>annual repayments of both principal (in equal annual instalments over the term of the loan) and interest.</w:t>
      </w:r>
    </w:p>
    <w:p w14:paraId="6A4F7121" w14:textId="77777777" w:rsidR="00E6741F" w:rsidRDefault="00E6741F" w:rsidP="00AF69B8">
      <w:pPr>
        <w:pStyle w:val="bodyCPMFF"/>
      </w:pPr>
      <w:r>
        <w:t>The government also proposes transitional rules to help companies with existing loans transition to the new 10-year model. These would operate as follows:</w:t>
      </w:r>
    </w:p>
    <w:p w14:paraId="04B3FAD9" w14:textId="77777777" w:rsidR="00E6741F" w:rsidRDefault="00E6741F" w:rsidP="00AF69B8">
      <w:pPr>
        <w:pStyle w:val="bullets1CPMFF"/>
      </w:pPr>
      <w:r>
        <w:t>All existing seven/25-year loans in place at 30 June 2019 would need to adopt the new, higher benchmark interest rate after that date.</w:t>
      </w:r>
    </w:p>
    <w:p w14:paraId="07AB13FA" w14:textId="77777777" w:rsidR="00E6741F" w:rsidRDefault="00E6741F" w:rsidP="00AF69B8">
      <w:pPr>
        <w:pStyle w:val="bullets1CPMFF"/>
      </w:pPr>
      <w:r>
        <w:t>Existing seven-year loans would retain their existing loan term and mature as originally planned.</w:t>
      </w:r>
    </w:p>
    <w:p w14:paraId="492A19B0" w14:textId="77777777" w:rsidR="00E6741F" w:rsidRDefault="00E6741F" w:rsidP="00AF69B8">
      <w:pPr>
        <w:pStyle w:val="bullets1CPMFF"/>
      </w:pPr>
      <w:r>
        <w:t xml:space="preserve">Existing 25-year loans would need to convert to a 10-year term </w:t>
      </w:r>
      <w:r w:rsidRPr="00170BD6">
        <w:t xml:space="preserve">prior to the lodgment day of the </w:t>
      </w:r>
      <w:r>
        <w:t xml:space="preserve">company’s </w:t>
      </w:r>
      <w:r w:rsidRPr="00170BD6">
        <w:t>2020-</w:t>
      </w:r>
      <w:r>
        <w:t xml:space="preserve">2021 </w:t>
      </w:r>
      <w:r w:rsidRPr="00170BD6">
        <w:t>tax</w:t>
      </w:r>
      <w:r>
        <w:t xml:space="preserve"> </w:t>
      </w:r>
      <w:r w:rsidRPr="00170BD6">
        <w:t>return.</w:t>
      </w:r>
      <w:r>
        <w:t xml:space="preserve"> However, it is not yet clear whether a 25-year loan with fewer than 10 years remaining as at 2021 would need to adopt a 10-year term.</w:t>
      </w:r>
    </w:p>
    <w:p w14:paraId="7923914C" w14:textId="3307B963" w:rsidR="002B214F" w:rsidRPr="00866C08" w:rsidRDefault="00E6741F" w:rsidP="00006E12">
      <w:pPr>
        <w:pStyle w:val="bullets1CPMFF"/>
      </w:pPr>
      <w:r w:rsidRPr="00C73FE6">
        <w:t>Pre-December 1997 loans</w:t>
      </w:r>
      <w:r>
        <w:t xml:space="preserve"> would become subject to Division 7A and need to convert to a 10-year loan by the 2020-2021 lodgment day</w:t>
      </w:r>
      <w:r w:rsidRPr="001C1C8F">
        <w:t xml:space="preserve">. </w:t>
      </w:r>
    </w:p>
    <w:p w14:paraId="648A08DE" w14:textId="5EC51612" w:rsidR="00E6741F" w:rsidRDefault="006147CC" w:rsidP="00AF69B8">
      <w:pPr>
        <w:pStyle w:val="bodyCPMFF"/>
      </w:pPr>
      <w:r w:rsidRPr="001C1C8F">
        <w:rPr>
          <w:rFonts w:cs="Arial"/>
        </w:rPr>
        <w:t>Th</w:t>
      </w:r>
      <w:r>
        <w:rPr>
          <w:rFonts w:cs="Arial"/>
        </w:rPr>
        <w:t>e proposals have attracted</w:t>
      </w:r>
      <w:r w:rsidRPr="001C1C8F">
        <w:rPr>
          <w:rFonts w:cs="Arial"/>
        </w:rPr>
        <w:t xml:space="preserve"> criticism that a 10-year loan model and higher interest rate would</w:t>
      </w:r>
      <w:r>
        <w:rPr>
          <w:rFonts w:cs="Arial"/>
        </w:rPr>
        <w:t xml:space="preserve"> create cash</w:t>
      </w:r>
      <w:r w:rsidRPr="001C1C8F">
        <w:rPr>
          <w:rFonts w:cs="Arial"/>
        </w:rPr>
        <w:t>flow problems for those who rely on their corporate</w:t>
      </w:r>
      <w:r>
        <w:t xml:space="preserve"> structures to access funds.</w:t>
      </w:r>
    </w:p>
    <w:p w14:paraId="49EC874E" w14:textId="26A1DF2F" w:rsidR="003955D5" w:rsidRPr="00F07452" w:rsidRDefault="003955D5" w:rsidP="003955D5">
      <w:pPr>
        <w:pStyle w:val="breakoutCPMFF"/>
      </w:pPr>
      <w:r w:rsidRPr="006147CC">
        <w:t>All taxpayers with existing Division 7A loans (regardless of the loan term) will also need to consider the impact of the reforms on their cashflow, given the higher interest rate that could apply from 1 July this year.</w:t>
      </w:r>
      <w:bookmarkStart w:id="4" w:name="_GoBack"/>
      <w:bookmarkEnd w:id="4"/>
    </w:p>
    <w:p w14:paraId="26B057A6" w14:textId="77777777" w:rsidR="00E6741F" w:rsidRDefault="00E6741F" w:rsidP="00AF69B8">
      <w:pPr>
        <w:pStyle w:val="head1CPMFF"/>
        <w:rPr>
          <w:sz w:val="20"/>
        </w:rPr>
      </w:pPr>
      <w:r>
        <w:t>Review your corporate structures now</w:t>
      </w:r>
      <w:r w:rsidRPr="00586C8E">
        <w:t xml:space="preserve"> </w:t>
      </w:r>
      <w:r>
        <w:rPr>
          <w:sz w:val="20"/>
        </w:rPr>
        <w:t xml:space="preserve"> </w:t>
      </w:r>
    </w:p>
    <w:p w14:paraId="561F440F" w14:textId="0434B009" w:rsidR="00E6741F" w:rsidRPr="00F07452" w:rsidRDefault="00E6741F" w:rsidP="00AF69B8">
      <w:pPr>
        <w:pStyle w:val="bodyCPMFF"/>
      </w:pPr>
      <w:r w:rsidRPr="00F07452">
        <w:t>While the</w:t>
      </w:r>
      <w:r>
        <w:t>se proposals are not yet final</w:t>
      </w:r>
      <w:r w:rsidRPr="00F07452">
        <w:t>,</w:t>
      </w:r>
      <w:r w:rsidR="002B214F">
        <w:t xml:space="preserve"> </w:t>
      </w:r>
      <w:r w:rsidR="00030610" w:rsidRPr="00F07452">
        <w:t>the government</w:t>
      </w:r>
      <w:r w:rsidR="00030610">
        <w:t>’s intention</w:t>
      </w:r>
      <w:r w:rsidR="00030610" w:rsidRPr="00F07452">
        <w:t xml:space="preserve"> to cut the maximum term of compliant loans and introduce a higher benchmark interest rate</w:t>
      </w:r>
      <w:r w:rsidR="00030610">
        <w:t xml:space="preserve"> is clear</w:t>
      </w:r>
      <w:r w:rsidR="00030610" w:rsidRPr="00F07452">
        <w:t>. Talk to us today to start identifying possible consequences for your structures and to discuss strategies for managing future cashflow or restructuring.</w:t>
      </w:r>
    </w:p>
    <w:p w14:paraId="3C5C895B" w14:textId="77777777" w:rsidR="00AF77D6" w:rsidRPr="00630399" w:rsidRDefault="00AF77D6" w:rsidP="00ED3A1F">
      <w:pPr>
        <w:pStyle w:val="datebylineCPMFF"/>
        <w:jc w:val="both"/>
      </w:pPr>
      <w:r>
        <w:rPr>
          <w:noProof/>
          <w:lang w:eastAsia="en-AU"/>
        </w:rPr>
        <w:t>Thomson Reuters Tax &amp; Accounting</w:t>
      </w:r>
    </w:p>
    <w:p w14:paraId="6E6C30DC" w14:textId="16D1ADAF" w:rsidR="008841F1" w:rsidRPr="00630399" w:rsidRDefault="008841F1" w:rsidP="00ED3A1F">
      <w:pPr>
        <w:pStyle w:val="datebylineCPMFF"/>
        <w:jc w:val="both"/>
      </w:pPr>
    </w:p>
    <w:sectPr w:rsidR="008841F1" w:rsidRPr="00630399" w:rsidSect="007F11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5B0E5" w14:textId="77777777" w:rsidR="00FC74FC" w:rsidRDefault="00FC74FC" w:rsidP="001D754F">
      <w:r>
        <w:separator/>
      </w:r>
    </w:p>
  </w:endnote>
  <w:endnote w:type="continuationSeparator" w:id="0">
    <w:p w14:paraId="31255310" w14:textId="77777777" w:rsidR="00FC74FC" w:rsidRDefault="00FC74FC" w:rsidP="001D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B570A" w14:textId="77777777" w:rsidR="00FC74FC" w:rsidRDefault="00FC74FC" w:rsidP="001D754F">
      <w:r>
        <w:separator/>
      </w:r>
    </w:p>
  </w:footnote>
  <w:footnote w:type="continuationSeparator" w:id="0">
    <w:p w14:paraId="63E57ECC" w14:textId="77777777" w:rsidR="00FC74FC" w:rsidRDefault="00FC74FC" w:rsidP="001D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3177"/>
    <w:multiLevelType w:val="hybridMultilevel"/>
    <w:tmpl w:val="B76C2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E350A"/>
    <w:multiLevelType w:val="hybridMultilevel"/>
    <w:tmpl w:val="DFD0B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717D9C"/>
    <w:multiLevelType w:val="hybridMultilevel"/>
    <w:tmpl w:val="BA1C650C"/>
    <w:lvl w:ilvl="0" w:tplc="04629C04">
      <w:start w:val="1"/>
      <w:numFmt w:val="bullet"/>
      <w:pStyle w:val="bullets2CPMFF"/>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38E7046"/>
    <w:multiLevelType w:val="hybridMultilevel"/>
    <w:tmpl w:val="E594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57F9C"/>
    <w:multiLevelType w:val="hybridMultilevel"/>
    <w:tmpl w:val="EBB885F8"/>
    <w:lvl w:ilvl="0" w:tplc="0A32A38A">
      <w:start w:val="1"/>
      <w:numFmt w:val="bullet"/>
      <w:pStyle w:val="bullets1CPMFF"/>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529D9"/>
    <w:multiLevelType w:val="hybridMultilevel"/>
    <w:tmpl w:val="682CF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936FA"/>
    <w:multiLevelType w:val="hybridMultilevel"/>
    <w:tmpl w:val="A90CE5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FC462A9"/>
    <w:multiLevelType w:val="hybridMultilevel"/>
    <w:tmpl w:val="53B6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457D0"/>
    <w:multiLevelType w:val="hybridMultilevel"/>
    <w:tmpl w:val="36F6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1A4AF9"/>
    <w:multiLevelType w:val="hybridMultilevel"/>
    <w:tmpl w:val="0074B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EA0FDF"/>
    <w:multiLevelType w:val="hybridMultilevel"/>
    <w:tmpl w:val="3DF2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90ABC"/>
    <w:multiLevelType w:val="hybridMultilevel"/>
    <w:tmpl w:val="F14C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E40C21"/>
    <w:multiLevelType w:val="hybridMultilevel"/>
    <w:tmpl w:val="8E62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E52A5"/>
    <w:multiLevelType w:val="hybridMultilevel"/>
    <w:tmpl w:val="9914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AF1A6F"/>
    <w:multiLevelType w:val="hybridMultilevel"/>
    <w:tmpl w:val="92B00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CB4B31"/>
    <w:multiLevelType w:val="hybridMultilevel"/>
    <w:tmpl w:val="92FA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B2121"/>
    <w:multiLevelType w:val="hybridMultilevel"/>
    <w:tmpl w:val="AD90F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B56FF1"/>
    <w:multiLevelType w:val="hybridMultilevel"/>
    <w:tmpl w:val="8F18F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BA33BF"/>
    <w:multiLevelType w:val="hybridMultilevel"/>
    <w:tmpl w:val="EC529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885AA8"/>
    <w:multiLevelType w:val="hybridMultilevel"/>
    <w:tmpl w:val="9F1471B4"/>
    <w:lvl w:ilvl="0" w:tplc="9906F254">
      <w:start w:val="1"/>
      <w:numFmt w:val="decimal"/>
      <w:pStyle w:val="numberingCPMFF"/>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EF0079"/>
    <w:multiLevelType w:val="hybridMultilevel"/>
    <w:tmpl w:val="A8F40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D81FE3"/>
    <w:multiLevelType w:val="hybridMultilevel"/>
    <w:tmpl w:val="1518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9"/>
  </w:num>
  <w:num w:numId="4">
    <w:abstractNumId w:val="17"/>
  </w:num>
  <w:num w:numId="5">
    <w:abstractNumId w:val="8"/>
  </w:num>
  <w:num w:numId="6">
    <w:abstractNumId w:val="20"/>
  </w:num>
  <w:num w:numId="7">
    <w:abstractNumId w:val="9"/>
  </w:num>
  <w:num w:numId="8">
    <w:abstractNumId w:val="1"/>
  </w:num>
  <w:num w:numId="9">
    <w:abstractNumId w:val="11"/>
  </w:num>
  <w:num w:numId="10">
    <w:abstractNumId w:val="13"/>
  </w:num>
  <w:num w:numId="11">
    <w:abstractNumId w:val="6"/>
  </w:num>
  <w:num w:numId="12">
    <w:abstractNumId w:val="18"/>
  </w:num>
  <w:num w:numId="13">
    <w:abstractNumId w:val="0"/>
  </w:num>
  <w:num w:numId="14">
    <w:abstractNumId w:val="5"/>
  </w:num>
  <w:num w:numId="15">
    <w:abstractNumId w:val="10"/>
  </w:num>
  <w:num w:numId="16">
    <w:abstractNumId w:val="16"/>
  </w:num>
  <w:num w:numId="17">
    <w:abstractNumId w:val="7"/>
  </w:num>
  <w:num w:numId="18">
    <w:abstractNumId w:val="14"/>
  </w:num>
  <w:num w:numId="19">
    <w:abstractNumId w:val="21"/>
  </w:num>
  <w:num w:numId="20">
    <w:abstractNumId w:val="3"/>
  </w:num>
  <w:num w:numId="21">
    <w:abstractNumId w:val="12"/>
  </w:num>
  <w:num w:numId="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D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8"/>
    <w:rsid w:val="0000053F"/>
    <w:rsid w:val="00001B1A"/>
    <w:rsid w:val="0000403E"/>
    <w:rsid w:val="00006327"/>
    <w:rsid w:val="00006E12"/>
    <w:rsid w:val="00007FC4"/>
    <w:rsid w:val="00010092"/>
    <w:rsid w:val="00013294"/>
    <w:rsid w:val="00013E8B"/>
    <w:rsid w:val="00022505"/>
    <w:rsid w:val="00023C65"/>
    <w:rsid w:val="000262BA"/>
    <w:rsid w:val="00027BC8"/>
    <w:rsid w:val="00030296"/>
    <w:rsid w:val="00030610"/>
    <w:rsid w:val="00042688"/>
    <w:rsid w:val="00042998"/>
    <w:rsid w:val="00043815"/>
    <w:rsid w:val="00043E42"/>
    <w:rsid w:val="00050F61"/>
    <w:rsid w:val="00051E16"/>
    <w:rsid w:val="0006489C"/>
    <w:rsid w:val="00072FC7"/>
    <w:rsid w:val="000732D5"/>
    <w:rsid w:val="00086048"/>
    <w:rsid w:val="00090737"/>
    <w:rsid w:val="00090F1F"/>
    <w:rsid w:val="000945C4"/>
    <w:rsid w:val="00096A64"/>
    <w:rsid w:val="00097D7B"/>
    <w:rsid w:val="00097E4E"/>
    <w:rsid w:val="000A43E7"/>
    <w:rsid w:val="000A45F4"/>
    <w:rsid w:val="000A52BA"/>
    <w:rsid w:val="000B08F3"/>
    <w:rsid w:val="000B299B"/>
    <w:rsid w:val="000B3C0C"/>
    <w:rsid w:val="000B3D81"/>
    <w:rsid w:val="000B7D3C"/>
    <w:rsid w:val="000C0441"/>
    <w:rsid w:val="000C26D0"/>
    <w:rsid w:val="000C2A19"/>
    <w:rsid w:val="000C3B52"/>
    <w:rsid w:val="000C4202"/>
    <w:rsid w:val="000C505E"/>
    <w:rsid w:val="000D438E"/>
    <w:rsid w:val="000D4C1D"/>
    <w:rsid w:val="000D6462"/>
    <w:rsid w:val="000E59D9"/>
    <w:rsid w:val="000E64DB"/>
    <w:rsid w:val="000F161E"/>
    <w:rsid w:val="000F4947"/>
    <w:rsid w:val="000F49C9"/>
    <w:rsid w:val="000F6F3D"/>
    <w:rsid w:val="000F7B46"/>
    <w:rsid w:val="001009FF"/>
    <w:rsid w:val="0011088A"/>
    <w:rsid w:val="00112E84"/>
    <w:rsid w:val="001139BD"/>
    <w:rsid w:val="00113C9E"/>
    <w:rsid w:val="00114C62"/>
    <w:rsid w:val="001159D2"/>
    <w:rsid w:val="00122814"/>
    <w:rsid w:val="00123AF6"/>
    <w:rsid w:val="00123F1B"/>
    <w:rsid w:val="00124177"/>
    <w:rsid w:val="00124F62"/>
    <w:rsid w:val="0013189B"/>
    <w:rsid w:val="001321D0"/>
    <w:rsid w:val="0013388F"/>
    <w:rsid w:val="00133A86"/>
    <w:rsid w:val="0013659C"/>
    <w:rsid w:val="00136E6A"/>
    <w:rsid w:val="00136FAB"/>
    <w:rsid w:val="001427F1"/>
    <w:rsid w:val="00145FCA"/>
    <w:rsid w:val="00147669"/>
    <w:rsid w:val="0015053C"/>
    <w:rsid w:val="0015111E"/>
    <w:rsid w:val="00151C23"/>
    <w:rsid w:val="00151C45"/>
    <w:rsid w:val="001629C2"/>
    <w:rsid w:val="00176714"/>
    <w:rsid w:val="00181161"/>
    <w:rsid w:val="00193FD4"/>
    <w:rsid w:val="00194490"/>
    <w:rsid w:val="00194865"/>
    <w:rsid w:val="00196C95"/>
    <w:rsid w:val="00197A3F"/>
    <w:rsid w:val="001A25C0"/>
    <w:rsid w:val="001A2DF6"/>
    <w:rsid w:val="001B2BA2"/>
    <w:rsid w:val="001B728B"/>
    <w:rsid w:val="001C266C"/>
    <w:rsid w:val="001D0574"/>
    <w:rsid w:val="001D0AA9"/>
    <w:rsid w:val="001D6395"/>
    <w:rsid w:val="001D68F1"/>
    <w:rsid w:val="001D754F"/>
    <w:rsid w:val="001E2F75"/>
    <w:rsid w:val="001E3CFF"/>
    <w:rsid w:val="001E4A5E"/>
    <w:rsid w:val="001E6A9F"/>
    <w:rsid w:val="001E7DEC"/>
    <w:rsid w:val="001F03DA"/>
    <w:rsid w:val="001F38B4"/>
    <w:rsid w:val="001F4152"/>
    <w:rsid w:val="00201F2A"/>
    <w:rsid w:val="0020645F"/>
    <w:rsid w:val="00220D2E"/>
    <w:rsid w:val="002214FC"/>
    <w:rsid w:val="002241A3"/>
    <w:rsid w:val="00226ABF"/>
    <w:rsid w:val="00230689"/>
    <w:rsid w:val="00232E89"/>
    <w:rsid w:val="0023396E"/>
    <w:rsid w:val="0023412B"/>
    <w:rsid w:val="0023442A"/>
    <w:rsid w:val="002378D7"/>
    <w:rsid w:val="0024282E"/>
    <w:rsid w:val="00246A3B"/>
    <w:rsid w:val="00250197"/>
    <w:rsid w:val="002522BA"/>
    <w:rsid w:val="00254A82"/>
    <w:rsid w:val="002555EB"/>
    <w:rsid w:val="002560C5"/>
    <w:rsid w:val="00256D3D"/>
    <w:rsid w:val="00260F14"/>
    <w:rsid w:val="0026215F"/>
    <w:rsid w:val="00262909"/>
    <w:rsid w:val="00263408"/>
    <w:rsid w:val="00263E9F"/>
    <w:rsid w:val="0026505A"/>
    <w:rsid w:val="00266E07"/>
    <w:rsid w:val="00274640"/>
    <w:rsid w:val="00274A7B"/>
    <w:rsid w:val="00274B86"/>
    <w:rsid w:val="00282FDB"/>
    <w:rsid w:val="002832B9"/>
    <w:rsid w:val="00293B0F"/>
    <w:rsid w:val="00294526"/>
    <w:rsid w:val="002A0D6A"/>
    <w:rsid w:val="002A211B"/>
    <w:rsid w:val="002A2AD0"/>
    <w:rsid w:val="002A3D7B"/>
    <w:rsid w:val="002A3E28"/>
    <w:rsid w:val="002A4803"/>
    <w:rsid w:val="002A4941"/>
    <w:rsid w:val="002B1887"/>
    <w:rsid w:val="002B214F"/>
    <w:rsid w:val="002B234F"/>
    <w:rsid w:val="002C0CB4"/>
    <w:rsid w:val="002C42D9"/>
    <w:rsid w:val="002C6CB6"/>
    <w:rsid w:val="002D0767"/>
    <w:rsid w:val="002D1042"/>
    <w:rsid w:val="002D4256"/>
    <w:rsid w:val="002D4B92"/>
    <w:rsid w:val="002E3D97"/>
    <w:rsid w:val="002E3EBF"/>
    <w:rsid w:val="002F69FA"/>
    <w:rsid w:val="003003F5"/>
    <w:rsid w:val="003014C3"/>
    <w:rsid w:val="00302D1C"/>
    <w:rsid w:val="00307C54"/>
    <w:rsid w:val="003102D3"/>
    <w:rsid w:val="00312E30"/>
    <w:rsid w:val="00315309"/>
    <w:rsid w:val="003160DA"/>
    <w:rsid w:val="003165A0"/>
    <w:rsid w:val="00317B5F"/>
    <w:rsid w:val="00322652"/>
    <w:rsid w:val="003259C9"/>
    <w:rsid w:val="00330C69"/>
    <w:rsid w:val="00332679"/>
    <w:rsid w:val="00332D95"/>
    <w:rsid w:val="003404F4"/>
    <w:rsid w:val="00342CDD"/>
    <w:rsid w:val="003524F1"/>
    <w:rsid w:val="00352EBC"/>
    <w:rsid w:val="0036235D"/>
    <w:rsid w:val="00365074"/>
    <w:rsid w:val="003671E1"/>
    <w:rsid w:val="00371BB6"/>
    <w:rsid w:val="0037468B"/>
    <w:rsid w:val="00377668"/>
    <w:rsid w:val="00380E7F"/>
    <w:rsid w:val="003826A5"/>
    <w:rsid w:val="00382D05"/>
    <w:rsid w:val="0038679D"/>
    <w:rsid w:val="00391FF4"/>
    <w:rsid w:val="003955D5"/>
    <w:rsid w:val="00395A87"/>
    <w:rsid w:val="00396320"/>
    <w:rsid w:val="0039693B"/>
    <w:rsid w:val="00397414"/>
    <w:rsid w:val="003A0D3D"/>
    <w:rsid w:val="003A34E2"/>
    <w:rsid w:val="003A4948"/>
    <w:rsid w:val="003A77FC"/>
    <w:rsid w:val="003B087A"/>
    <w:rsid w:val="003B1768"/>
    <w:rsid w:val="003B2463"/>
    <w:rsid w:val="003C0F3E"/>
    <w:rsid w:val="003C3040"/>
    <w:rsid w:val="003C45C9"/>
    <w:rsid w:val="003C5E5B"/>
    <w:rsid w:val="003C6ACC"/>
    <w:rsid w:val="003D47C5"/>
    <w:rsid w:val="003D7701"/>
    <w:rsid w:val="003E34E5"/>
    <w:rsid w:val="003E3AA0"/>
    <w:rsid w:val="003E6107"/>
    <w:rsid w:val="003E63EB"/>
    <w:rsid w:val="003E6551"/>
    <w:rsid w:val="004011A2"/>
    <w:rsid w:val="00402594"/>
    <w:rsid w:val="0040425E"/>
    <w:rsid w:val="004073A7"/>
    <w:rsid w:val="00407D06"/>
    <w:rsid w:val="00411C68"/>
    <w:rsid w:val="004175ED"/>
    <w:rsid w:val="0041792E"/>
    <w:rsid w:val="00417EC5"/>
    <w:rsid w:val="004201ED"/>
    <w:rsid w:val="0042164B"/>
    <w:rsid w:val="00422C45"/>
    <w:rsid w:val="00423E8B"/>
    <w:rsid w:val="004331BA"/>
    <w:rsid w:val="004346C0"/>
    <w:rsid w:val="0043542F"/>
    <w:rsid w:val="004365EF"/>
    <w:rsid w:val="00440556"/>
    <w:rsid w:val="00443DBB"/>
    <w:rsid w:val="0045022E"/>
    <w:rsid w:val="0045129F"/>
    <w:rsid w:val="00456565"/>
    <w:rsid w:val="00460091"/>
    <w:rsid w:val="00464BE5"/>
    <w:rsid w:val="00464E5A"/>
    <w:rsid w:val="004669E8"/>
    <w:rsid w:val="004734BD"/>
    <w:rsid w:val="00474F60"/>
    <w:rsid w:val="00477360"/>
    <w:rsid w:val="00484943"/>
    <w:rsid w:val="00486ADC"/>
    <w:rsid w:val="00487CDC"/>
    <w:rsid w:val="00493845"/>
    <w:rsid w:val="004974F5"/>
    <w:rsid w:val="004A25C3"/>
    <w:rsid w:val="004A5DB7"/>
    <w:rsid w:val="004B120F"/>
    <w:rsid w:val="004B1D12"/>
    <w:rsid w:val="004B47B6"/>
    <w:rsid w:val="004B4A12"/>
    <w:rsid w:val="004B5C2F"/>
    <w:rsid w:val="004C0113"/>
    <w:rsid w:val="004C3089"/>
    <w:rsid w:val="004C4112"/>
    <w:rsid w:val="004C4DEE"/>
    <w:rsid w:val="004C71E4"/>
    <w:rsid w:val="004D389D"/>
    <w:rsid w:val="004D3CF3"/>
    <w:rsid w:val="004D43C1"/>
    <w:rsid w:val="004D57EE"/>
    <w:rsid w:val="004D5C9A"/>
    <w:rsid w:val="004D5D19"/>
    <w:rsid w:val="004D5D86"/>
    <w:rsid w:val="004D75D7"/>
    <w:rsid w:val="004E5288"/>
    <w:rsid w:val="004E5B9D"/>
    <w:rsid w:val="004F526C"/>
    <w:rsid w:val="004F728A"/>
    <w:rsid w:val="005015F8"/>
    <w:rsid w:val="005022A0"/>
    <w:rsid w:val="00502B35"/>
    <w:rsid w:val="00506907"/>
    <w:rsid w:val="00507935"/>
    <w:rsid w:val="00510832"/>
    <w:rsid w:val="00511424"/>
    <w:rsid w:val="0051244E"/>
    <w:rsid w:val="00523519"/>
    <w:rsid w:val="00526C04"/>
    <w:rsid w:val="00526EEB"/>
    <w:rsid w:val="00527548"/>
    <w:rsid w:val="0052789B"/>
    <w:rsid w:val="00532BAD"/>
    <w:rsid w:val="005344F3"/>
    <w:rsid w:val="00543088"/>
    <w:rsid w:val="00546C51"/>
    <w:rsid w:val="0055081A"/>
    <w:rsid w:val="005611B2"/>
    <w:rsid w:val="00563BAB"/>
    <w:rsid w:val="0056779F"/>
    <w:rsid w:val="005738C5"/>
    <w:rsid w:val="005805AD"/>
    <w:rsid w:val="00584AF6"/>
    <w:rsid w:val="0058518B"/>
    <w:rsid w:val="005A3F05"/>
    <w:rsid w:val="005A53D3"/>
    <w:rsid w:val="005A6E0B"/>
    <w:rsid w:val="005A7344"/>
    <w:rsid w:val="005B0A84"/>
    <w:rsid w:val="005B26D8"/>
    <w:rsid w:val="005B697B"/>
    <w:rsid w:val="005B7B59"/>
    <w:rsid w:val="005C3C41"/>
    <w:rsid w:val="005C458C"/>
    <w:rsid w:val="005C5CA7"/>
    <w:rsid w:val="005D4AF0"/>
    <w:rsid w:val="005D53F9"/>
    <w:rsid w:val="005D7DDF"/>
    <w:rsid w:val="005E107F"/>
    <w:rsid w:val="005E5520"/>
    <w:rsid w:val="005E7F7E"/>
    <w:rsid w:val="005F0836"/>
    <w:rsid w:val="00603713"/>
    <w:rsid w:val="00611EC9"/>
    <w:rsid w:val="006140F0"/>
    <w:rsid w:val="006147CC"/>
    <w:rsid w:val="00617A3D"/>
    <w:rsid w:val="006219DA"/>
    <w:rsid w:val="00626518"/>
    <w:rsid w:val="0062665B"/>
    <w:rsid w:val="00630399"/>
    <w:rsid w:val="006402EF"/>
    <w:rsid w:val="00643C12"/>
    <w:rsid w:val="006536EB"/>
    <w:rsid w:val="0066009C"/>
    <w:rsid w:val="0066153B"/>
    <w:rsid w:val="00664F42"/>
    <w:rsid w:val="00665FFC"/>
    <w:rsid w:val="006702AA"/>
    <w:rsid w:val="00671476"/>
    <w:rsid w:val="00673357"/>
    <w:rsid w:val="00674268"/>
    <w:rsid w:val="00675CE0"/>
    <w:rsid w:val="0068085F"/>
    <w:rsid w:val="0068088E"/>
    <w:rsid w:val="0068089A"/>
    <w:rsid w:val="00684791"/>
    <w:rsid w:val="00684CDA"/>
    <w:rsid w:val="006854C5"/>
    <w:rsid w:val="006871E3"/>
    <w:rsid w:val="00690F77"/>
    <w:rsid w:val="0069108B"/>
    <w:rsid w:val="00691FD3"/>
    <w:rsid w:val="006A062A"/>
    <w:rsid w:val="006A461B"/>
    <w:rsid w:val="006A5F91"/>
    <w:rsid w:val="006A73A7"/>
    <w:rsid w:val="006B0E65"/>
    <w:rsid w:val="006B3151"/>
    <w:rsid w:val="006B4776"/>
    <w:rsid w:val="006B48F2"/>
    <w:rsid w:val="006B59C9"/>
    <w:rsid w:val="006C621F"/>
    <w:rsid w:val="006C6C90"/>
    <w:rsid w:val="006C6E70"/>
    <w:rsid w:val="006D0760"/>
    <w:rsid w:val="006D1483"/>
    <w:rsid w:val="006D2E5A"/>
    <w:rsid w:val="006D2FF9"/>
    <w:rsid w:val="006D30D2"/>
    <w:rsid w:val="006D69B6"/>
    <w:rsid w:val="006E2E17"/>
    <w:rsid w:val="006F39CE"/>
    <w:rsid w:val="006F64CF"/>
    <w:rsid w:val="006F667D"/>
    <w:rsid w:val="007011A7"/>
    <w:rsid w:val="0071008D"/>
    <w:rsid w:val="00713C56"/>
    <w:rsid w:val="00714201"/>
    <w:rsid w:val="00717E85"/>
    <w:rsid w:val="007207E8"/>
    <w:rsid w:val="00721B68"/>
    <w:rsid w:val="00724641"/>
    <w:rsid w:val="00727354"/>
    <w:rsid w:val="00727F29"/>
    <w:rsid w:val="007313A5"/>
    <w:rsid w:val="00731C5C"/>
    <w:rsid w:val="00735FBB"/>
    <w:rsid w:val="007367C2"/>
    <w:rsid w:val="00737C48"/>
    <w:rsid w:val="00740313"/>
    <w:rsid w:val="0074249D"/>
    <w:rsid w:val="007454E0"/>
    <w:rsid w:val="0074790A"/>
    <w:rsid w:val="00752E50"/>
    <w:rsid w:val="00756EEE"/>
    <w:rsid w:val="0076131F"/>
    <w:rsid w:val="00761A71"/>
    <w:rsid w:val="007652AC"/>
    <w:rsid w:val="0076554B"/>
    <w:rsid w:val="00765AFC"/>
    <w:rsid w:val="00765F5A"/>
    <w:rsid w:val="007673E7"/>
    <w:rsid w:val="00770409"/>
    <w:rsid w:val="007719CB"/>
    <w:rsid w:val="007744A1"/>
    <w:rsid w:val="00776ACC"/>
    <w:rsid w:val="00776CF7"/>
    <w:rsid w:val="00776EA2"/>
    <w:rsid w:val="00777973"/>
    <w:rsid w:val="00785267"/>
    <w:rsid w:val="00795034"/>
    <w:rsid w:val="00796A07"/>
    <w:rsid w:val="007A0792"/>
    <w:rsid w:val="007A26EE"/>
    <w:rsid w:val="007A2B34"/>
    <w:rsid w:val="007B116A"/>
    <w:rsid w:val="007B30DA"/>
    <w:rsid w:val="007B5E27"/>
    <w:rsid w:val="007B7789"/>
    <w:rsid w:val="007C21BE"/>
    <w:rsid w:val="007C22B2"/>
    <w:rsid w:val="007C4711"/>
    <w:rsid w:val="007C4BCC"/>
    <w:rsid w:val="007C59E1"/>
    <w:rsid w:val="007C7196"/>
    <w:rsid w:val="007C7B5E"/>
    <w:rsid w:val="007C7ED0"/>
    <w:rsid w:val="007D03E9"/>
    <w:rsid w:val="007D559A"/>
    <w:rsid w:val="007E12B3"/>
    <w:rsid w:val="007E15C1"/>
    <w:rsid w:val="007E2691"/>
    <w:rsid w:val="007E51AA"/>
    <w:rsid w:val="007F1C75"/>
    <w:rsid w:val="007F30E2"/>
    <w:rsid w:val="007F56D1"/>
    <w:rsid w:val="00800C6C"/>
    <w:rsid w:val="008033D2"/>
    <w:rsid w:val="00806D3B"/>
    <w:rsid w:val="00807B25"/>
    <w:rsid w:val="0081098A"/>
    <w:rsid w:val="00810C5B"/>
    <w:rsid w:val="00817330"/>
    <w:rsid w:val="00820A8C"/>
    <w:rsid w:val="008270D1"/>
    <w:rsid w:val="008309CC"/>
    <w:rsid w:val="0083292A"/>
    <w:rsid w:val="00832D2E"/>
    <w:rsid w:val="008344AC"/>
    <w:rsid w:val="00836499"/>
    <w:rsid w:val="00840ADF"/>
    <w:rsid w:val="00850E9C"/>
    <w:rsid w:val="0085461B"/>
    <w:rsid w:val="008561C7"/>
    <w:rsid w:val="00860D30"/>
    <w:rsid w:val="008637E5"/>
    <w:rsid w:val="0086552F"/>
    <w:rsid w:val="00866C08"/>
    <w:rsid w:val="00866EEA"/>
    <w:rsid w:val="00876C21"/>
    <w:rsid w:val="00882353"/>
    <w:rsid w:val="008829EA"/>
    <w:rsid w:val="008841F1"/>
    <w:rsid w:val="0089211A"/>
    <w:rsid w:val="008940AF"/>
    <w:rsid w:val="008A14F0"/>
    <w:rsid w:val="008A21F4"/>
    <w:rsid w:val="008A3E40"/>
    <w:rsid w:val="008A74C2"/>
    <w:rsid w:val="008B1AEE"/>
    <w:rsid w:val="008B50AC"/>
    <w:rsid w:val="008C15BF"/>
    <w:rsid w:val="008C41B3"/>
    <w:rsid w:val="008C5A66"/>
    <w:rsid w:val="008D2588"/>
    <w:rsid w:val="008D4DC1"/>
    <w:rsid w:val="008D51D8"/>
    <w:rsid w:val="008D67F1"/>
    <w:rsid w:val="008E260D"/>
    <w:rsid w:val="008E322B"/>
    <w:rsid w:val="008E3EE6"/>
    <w:rsid w:val="008E4DB1"/>
    <w:rsid w:val="008E4E26"/>
    <w:rsid w:val="008E5198"/>
    <w:rsid w:val="008F0D3A"/>
    <w:rsid w:val="008F2F37"/>
    <w:rsid w:val="008F2FD8"/>
    <w:rsid w:val="008F4F31"/>
    <w:rsid w:val="008F7C12"/>
    <w:rsid w:val="00900403"/>
    <w:rsid w:val="00903050"/>
    <w:rsid w:val="00911282"/>
    <w:rsid w:val="00912A20"/>
    <w:rsid w:val="009145BD"/>
    <w:rsid w:val="009177AB"/>
    <w:rsid w:val="00920C45"/>
    <w:rsid w:val="00921720"/>
    <w:rsid w:val="0092480D"/>
    <w:rsid w:val="009311BF"/>
    <w:rsid w:val="009324E5"/>
    <w:rsid w:val="00934005"/>
    <w:rsid w:val="00934249"/>
    <w:rsid w:val="009348BE"/>
    <w:rsid w:val="00937368"/>
    <w:rsid w:val="00942C48"/>
    <w:rsid w:val="00947DF7"/>
    <w:rsid w:val="00950596"/>
    <w:rsid w:val="00951696"/>
    <w:rsid w:val="009707D9"/>
    <w:rsid w:val="00971042"/>
    <w:rsid w:val="00975189"/>
    <w:rsid w:val="0097618B"/>
    <w:rsid w:val="009761BA"/>
    <w:rsid w:val="00981544"/>
    <w:rsid w:val="00983681"/>
    <w:rsid w:val="0099187D"/>
    <w:rsid w:val="0099261C"/>
    <w:rsid w:val="0099457A"/>
    <w:rsid w:val="00996410"/>
    <w:rsid w:val="009A59B4"/>
    <w:rsid w:val="009A75E6"/>
    <w:rsid w:val="009B3C31"/>
    <w:rsid w:val="009C29E8"/>
    <w:rsid w:val="009C41A7"/>
    <w:rsid w:val="009C4315"/>
    <w:rsid w:val="009C6E05"/>
    <w:rsid w:val="009C7C88"/>
    <w:rsid w:val="009D5540"/>
    <w:rsid w:val="009D6191"/>
    <w:rsid w:val="009D6DAC"/>
    <w:rsid w:val="009E1958"/>
    <w:rsid w:val="009E3A1A"/>
    <w:rsid w:val="009E40FE"/>
    <w:rsid w:val="009E775B"/>
    <w:rsid w:val="009F4FE9"/>
    <w:rsid w:val="009F56C7"/>
    <w:rsid w:val="00A01DDA"/>
    <w:rsid w:val="00A06D10"/>
    <w:rsid w:val="00A14B11"/>
    <w:rsid w:val="00A21908"/>
    <w:rsid w:val="00A22C3A"/>
    <w:rsid w:val="00A24B36"/>
    <w:rsid w:val="00A319BA"/>
    <w:rsid w:val="00A36AAC"/>
    <w:rsid w:val="00A4146D"/>
    <w:rsid w:val="00A476F6"/>
    <w:rsid w:val="00A500F2"/>
    <w:rsid w:val="00A54C63"/>
    <w:rsid w:val="00A55D26"/>
    <w:rsid w:val="00A607F9"/>
    <w:rsid w:val="00A61B4F"/>
    <w:rsid w:val="00A6243D"/>
    <w:rsid w:val="00A63B97"/>
    <w:rsid w:val="00A73D37"/>
    <w:rsid w:val="00A74CE2"/>
    <w:rsid w:val="00A7788A"/>
    <w:rsid w:val="00A8304C"/>
    <w:rsid w:val="00A8585B"/>
    <w:rsid w:val="00AA2668"/>
    <w:rsid w:val="00AA6BD8"/>
    <w:rsid w:val="00AB2476"/>
    <w:rsid w:val="00AB2C0C"/>
    <w:rsid w:val="00AB3792"/>
    <w:rsid w:val="00AB38EF"/>
    <w:rsid w:val="00AC2539"/>
    <w:rsid w:val="00AC66C9"/>
    <w:rsid w:val="00AC6CF2"/>
    <w:rsid w:val="00AD310B"/>
    <w:rsid w:val="00AD3D28"/>
    <w:rsid w:val="00AD3EE5"/>
    <w:rsid w:val="00AD66EF"/>
    <w:rsid w:val="00AE0EF1"/>
    <w:rsid w:val="00AE1034"/>
    <w:rsid w:val="00AE133F"/>
    <w:rsid w:val="00AE2017"/>
    <w:rsid w:val="00AE2642"/>
    <w:rsid w:val="00AE4AC1"/>
    <w:rsid w:val="00AF2025"/>
    <w:rsid w:val="00AF2792"/>
    <w:rsid w:val="00AF283D"/>
    <w:rsid w:val="00AF69B8"/>
    <w:rsid w:val="00AF77D6"/>
    <w:rsid w:val="00B020DB"/>
    <w:rsid w:val="00B0287B"/>
    <w:rsid w:val="00B06279"/>
    <w:rsid w:val="00B073B3"/>
    <w:rsid w:val="00B07413"/>
    <w:rsid w:val="00B07EEA"/>
    <w:rsid w:val="00B2080C"/>
    <w:rsid w:val="00B2325F"/>
    <w:rsid w:val="00B24FEB"/>
    <w:rsid w:val="00B312DE"/>
    <w:rsid w:val="00B319FC"/>
    <w:rsid w:val="00B32F06"/>
    <w:rsid w:val="00B34F16"/>
    <w:rsid w:val="00B41820"/>
    <w:rsid w:val="00B41F70"/>
    <w:rsid w:val="00B44F5C"/>
    <w:rsid w:val="00B505B3"/>
    <w:rsid w:val="00B51F56"/>
    <w:rsid w:val="00B538BF"/>
    <w:rsid w:val="00B56107"/>
    <w:rsid w:val="00B67538"/>
    <w:rsid w:val="00B7130E"/>
    <w:rsid w:val="00B7291F"/>
    <w:rsid w:val="00B745F6"/>
    <w:rsid w:val="00B74FF8"/>
    <w:rsid w:val="00B755A1"/>
    <w:rsid w:val="00B76441"/>
    <w:rsid w:val="00B76597"/>
    <w:rsid w:val="00B7727D"/>
    <w:rsid w:val="00B80EC9"/>
    <w:rsid w:val="00B81B83"/>
    <w:rsid w:val="00B82CAC"/>
    <w:rsid w:val="00B84848"/>
    <w:rsid w:val="00B85F91"/>
    <w:rsid w:val="00B9172C"/>
    <w:rsid w:val="00B91849"/>
    <w:rsid w:val="00BA1358"/>
    <w:rsid w:val="00BA481B"/>
    <w:rsid w:val="00BB0A2D"/>
    <w:rsid w:val="00BB3F9D"/>
    <w:rsid w:val="00BB584D"/>
    <w:rsid w:val="00BB5F6C"/>
    <w:rsid w:val="00BB77EB"/>
    <w:rsid w:val="00BC54DF"/>
    <w:rsid w:val="00BC7B2B"/>
    <w:rsid w:val="00BD2538"/>
    <w:rsid w:val="00BD30BF"/>
    <w:rsid w:val="00BD442C"/>
    <w:rsid w:val="00BD44C4"/>
    <w:rsid w:val="00BD5944"/>
    <w:rsid w:val="00BD73C5"/>
    <w:rsid w:val="00BE2F8A"/>
    <w:rsid w:val="00BF0BFE"/>
    <w:rsid w:val="00BF53C4"/>
    <w:rsid w:val="00BF5620"/>
    <w:rsid w:val="00C020C2"/>
    <w:rsid w:val="00C03883"/>
    <w:rsid w:val="00C04265"/>
    <w:rsid w:val="00C04B7A"/>
    <w:rsid w:val="00C13ED9"/>
    <w:rsid w:val="00C14E9C"/>
    <w:rsid w:val="00C25BF6"/>
    <w:rsid w:val="00C260FF"/>
    <w:rsid w:val="00C326F0"/>
    <w:rsid w:val="00C33957"/>
    <w:rsid w:val="00C3455E"/>
    <w:rsid w:val="00C356ED"/>
    <w:rsid w:val="00C417F1"/>
    <w:rsid w:val="00C418DD"/>
    <w:rsid w:val="00C41B9A"/>
    <w:rsid w:val="00C45D12"/>
    <w:rsid w:val="00C46574"/>
    <w:rsid w:val="00C51599"/>
    <w:rsid w:val="00C53AA3"/>
    <w:rsid w:val="00C55837"/>
    <w:rsid w:val="00C60F10"/>
    <w:rsid w:val="00C72A21"/>
    <w:rsid w:val="00C75B6C"/>
    <w:rsid w:val="00C77EA9"/>
    <w:rsid w:val="00C800C6"/>
    <w:rsid w:val="00C81395"/>
    <w:rsid w:val="00C813E2"/>
    <w:rsid w:val="00C84B1C"/>
    <w:rsid w:val="00C90CE7"/>
    <w:rsid w:val="00C9107D"/>
    <w:rsid w:val="00C91322"/>
    <w:rsid w:val="00C92E0D"/>
    <w:rsid w:val="00CA281B"/>
    <w:rsid w:val="00CA4E56"/>
    <w:rsid w:val="00CA657F"/>
    <w:rsid w:val="00CA6ECA"/>
    <w:rsid w:val="00CB1A57"/>
    <w:rsid w:val="00CB1CFE"/>
    <w:rsid w:val="00CB66FD"/>
    <w:rsid w:val="00CC3204"/>
    <w:rsid w:val="00CC4B93"/>
    <w:rsid w:val="00CC4D46"/>
    <w:rsid w:val="00CC59E2"/>
    <w:rsid w:val="00CD396D"/>
    <w:rsid w:val="00CD564C"/>
    <w:rsid w:val="00CE238A"/>
    <w:rsid w:val="00CE5C47"/>
    <w:rsid w:val="00D10D89"/>
    <w:rsid w:val="00D153CA"/>
    <w:rsid w:val="00D15AB3"/>
    <w:rsid w:val="00D16C16"/>
    <w:rsid w:val="00D227BF"/>
    <w:rsid w:val="00D307B6"/>
    <w:rsid w:val="00D32219"/>
    <w:rsid w:val="00D34144"/>
    <w:rsid w:val="00D344EB"/>
    <w:rsid w:val="00D42DAC"/>
    <w:rsid w:val="00D439B7"/>
    <w:rsid w:val="00D441B6"/>
    <w:rsid w:val="00D45D62"/>
    <w:rsid w:val="00D47CC9"/>
    <w:rsid w:val="00D514FB"/>
    <w:rsid w:val="00D51EB5"/>
    <w:rsid w:val="00D51F35"/>
    <w:rsid w:val="00D55AD9"/>
    <w:rsid w:val="00D55ECB"/>
    <w:rsid w:val="00D561DD"/>
    <w:rsid w:val="00D566CB"/>
    <w:rsid w:val="00D56C46"/>
    <w:rsid w:val="00D57DA6"/>
    <w:rsid w:val="00D62D43"/>
    <w:rsid w:val="00D72954"/>
    <w:rsid w:val="00D73B91"/>
    <w:rsid w:val="00D73E0F"/>
    <w:rsid w:val="00D75C86"/>
    <w:rsid w:val="00D82B87"/>
    <w:rsid w:val="00D83705"/>
    <w:rsid w:val="00D8415C"/>
    <w:rsid w:val="00D869FE"/>
    <w:rsid w:val="00D916E5"/>
    <w:rsid w:val="00DA12B2"/>
    <w:rsid w:val="00DA3DAF"/>
    <w:rsid w:val="00DA58CE"/>
    <w:rsid w:val="00DB65EA"/>
    <w:rsid w:val="00DB72A8"/>
    <w:rsid w:val="00DD36CD"/>
    <w:rsid w:val="00DD4B8E"/>
    <w:rsid w:val="00DE26A0"/>
    <w:rsid w:val="00DE35DC"/>
    <w:rsid w:val="00DE6CE9"/>
    <w:rsid w:val="00DF1E65"/>
    <w:rsid w:val="00DF593B"/>
    <w:rsid w:val="00DF6886"/>
    <w:rsid w:val="00E05D69"/>
    <w:rsid w:val="00E1034C"/>
    <w:rsid w:val="00E12556"/>
    <w:rsid w:val="00E14694"/>
    <w:rsid w:val="00E165A3"/>
    <w:rsid w:val="00E168DF"/>
    <w:rsid w:val="00E24F04"/>
    <w:rsid w:val="00E3211D"/>
    <w:rsid w:val="00E33A61"/>
    <w:rsid w:val="00E376B2"/>
    <w:rsid w:val="00E4354D"/>
    <w:rsid w:val="00E442ED"/>
    <w:rsid w:val="00E4475F"/>
    <w:rsid w:val="00E45D26"/>
    <w:rsid w:val="00E46144"/>
    <w:rsid w:val="00E60025"/>
    <w:rsid w:val="00E6188B"/>
    <w:rsid w:val="00E62A5A"/>
    <w:rsid w:val="00E6741F"/>
    <w:rsid w:val="00E72FCA"/>
    <w:rsid w:val="00E74146"/>
    <w:rsid w:val="00E8298F"/>
    <w:rsid w:val="00E836D2"/>
    <w:rsid w:val="00E84426"/>
    <w:rsid w:val="00E92D15"/>
    <w:rsid w:val="00EA1961"/>
    <w:rsid w:val="00EA3005"/>
    <w:rsid w:val="00EA6010"/>
    <w:rsid w:val="00EB121C"/>
    <w:rsid w:val="00EB1D7E"/>
    <w:rsid w:val="00EB666B"/>
    <w:rsid w:val="00EB6ACC"/>
    <w:rsid w:val="00EC2A61"/>
    <w:rsid w:val="00EC7356"/>
    <w:rsid w:val="00ED0E13"/>
    <w:rsid w:val="00ED2D08"/>
    <w:rsid w:val="00ED32DA"/>
    <w:rsid w:val="00ED3A1F"/>
    <w:rsid w:val="00ED7AF5"/>
    <w:rsid w:val="00EE2D87"/>
    <w:rsid w:val="00EE2FF1"/>
    <w:rsid w:val="00EF0E6B"/>
    <w:rsid w:val="00EF3AA1"/>
    <w:rsid w:val="00EF76F5"/>
    <w:rsid w:val="00EF7846"/>
    <w:rsid w:val="00EF7BA9"/>
    <w:rsid w:val="00F003DE"/>
    <w:rsid w:val="00F06E55"/>
    <w:rsid w:val="00F10203"/>
    <w:rsid w:val="00F114CD"/>
    <w:rsid w:val="00F1369F"/>
    <w:rsid w:val="00F13A21"/>
    <w:rsid w:val="00F16D77"/>
    <w:rsid w:val="00F22BBF"/>
    <w:rsid w:val="00F243CC"/>
    <w:rsid w:val="00F30E68"/>
    <w:rsid w:val="00F35B6B"/>
    <w:rsid w:val="00F401CD"/>
    <w:rsid w:val="00F42DE0"/>
    <w:rsid w:val="00F43240"/>
    <w:rsid w:val="00F60836"/>
    <w:rsid w:val="00F6088F"/>
    <w:rsid w:val="00F6147A"/>
    <w:rsid w:val="00F65FF8"/>
    <w:rsid w:val="00F6695B"/>
    <w:rsid w:val="00F75509"/>
    <w:rsid w:val="00F75D16"/>
    <w:rsid w:val="00F84586"/>
    <w:rsid w:val="00FA0A09"/>
    <w:rsid w:val="00FA10E5"/>
    <w:rsid w:val="00FB4D5E"/>
    <w:rsid w:val="00FB561F"/>
    <w:rsid w:val="00FC5894"/>
    <w:rsid w:val="00FC5C70"/>
    <w:rsid w:val="00FC6078"/>
    <w:rsid w:val="00FC6D7B"/>
    <w:rsid w:val="00FC74FC"/>
    <w:rsid w:val="00FD1C2F"/>
    <w:rsid w:val="00FD6F4A"/>
    <w:rsid w:val="00FE03DC"/>
    <w:rsid w:val="00FE1B2D"/>
    <w:rsid w:val="00FE2967"/>
    <w:rsid w:val="00FE3365"/>
    <w:rsid w:val="00FE35F6"/>
    <w:rsid w:val="00FE40F0"/>
    <w:rsid w:val="00FE4CAA"/>
    <w:rsid w:val="00FF1862"/>
    <w:rsid w:val="00FF1E1F"/>
    <w:rsid w:val="00FF54EE"/>
    <w:rsid w:val="00FF5AB9"/>
    <w:rsid w:val="00FF5D0D"/>
    <w:rsid w:val="00FF7C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E70A"/>
  <w15:docId w15:val="{07ED6D06-B538-40BE-9AE4-EE4A85E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lang w:val="en-AU"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539"/>
    <w:pPr>
      <w:spacing w:after="0"/>
    </w:pPr>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F13A21"/>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qFormat/>
    <w:rsid w:val="00F13A2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unhideWhenUsed/>
    <w:qFormat/>
    <w:rsid w:val="001D754F"/>
    <w:pPr>
      <w:spacing w:before="100" w:beforeAutospacing="1" w:after="100" w:afterAutospacing="1"/>
      <w:outlineLvl w:val="2"/>
    </w:pPr>
    <w:rPr>
      <w:rFonts w:eastAsiaTheme="minorHAnsi" w:cs="Arial"/>
      <w:b/>
      <w:bCs/>
      <w:i/>
      <w:iCs/>
      <w:color w:val="333333"/>
      <w:szCs w:val="20"/>
      <w:lang w:val="en-AU" w:eastAsia="en-AU"/>
    </w:rPr>
  </w:style>
  <w:style w:type="paragraph" w:styleId="Heading5">
    <w:name w:val="heading 5"/>
    <w:basedOn w:val="Normal"/>
    <w:next w:val="Normal"/>
    <w:link w:val="Heading5Char"/>
    <w:uiPriority w:val="9"/>
    <w:semiHidden/>
    <w:unhideWhenUsed/>
    <w:qFormat/>
    <w:rsid w:val="0099457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73"/>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777973"/>
    <w:rPr>
      <w:rFonts w:eastAsiaTheme="majorEastAsia" w:cstheme="majorBidi"/>
      <w:b/>
      <w:bCs/>
      <w:i/>
      <w:iCs/>
      <w:sz w:val="28"/>
      <w:szCs w:val="28"/>
    </w:rPr>
  </w:style>
  <w:style w:type="paragraph" w:customStyle="1" w:styleId="bodyCPMFF">
    <w:name w:val="body_CPMFF"/>
    <w:uiPriority w:val="4"/>
    <w:qFormat/>
    <w:rsid w:val="00A63B97"/>
    <w:rPr>
      <w:rFonts w:ascii="Arial" w:hAnsi="Arial"/>
    </w:rPr>
  </w:style>
  <w:style w:type="paragraph" w:customStyle="1" w:styleId="articletitleCPMFF">
    <w:name w:val="article title_CPMFF"/>
    <w:next w:val="bodyCPMFF"/>
    <w:qFormat/>
    <w:rsid w:val="00A63B97"/>
    <w:pPr>
      <w:outlineLvl w:val="0"/>
    </w:pPr>
    <w:rPr>
      <w:rFonts w:ascii="Arial" w:hAnsi="Arial"/>
      <w:b/>
      <w:sz w:val="32"/>
    </w:rPr>
  </w:style>
  <w:style w:type="paragraph" w:customStyle="1" w:styleId="head1CPMFF">
    <w:name w:val="head 1_CPMFF"/>
    <w:next w:val="bodyCPMFF"/>
    <w:uiPriority w:val="1"/>
    <w:qFormat/>
    <w:rsid w:val="00A63B97"/>
    <w:pPr>
      <w:outlineLvl w:val="1"/>
    </w:pPr>
    <w:rPr>
      <w:rFonts w:ascii="Arial" w:hAnsi="Arial"/>
      <w:b/>
      <w:sz w:val="24"/>
    </w:rPr>
  </w:style>
  <w:style w:type="paragraph" w:customStyle="1" w:styleId="head2CPMFF">
    <w:name w:val="head 2_CPMFF"/>
    <w:next w:val="bodyCPMFF"/>
    <w:uiPriority w:val="2"/>
    <w:rsid w:val="00A63B97"/>
    <w:pPr>
      <w:outlineLvl w:val="2"/>
    </w:pPr>
    <w:rPr>
      <w:rFonts w:ascii="Arial" w:hAnsi="Arial"/>
      <w:b/>
      <w:i/>
      <w:sz w:val="24"/>
    </w:rPr>
  </w:style>
  <w:style w:type="paragraph" w:customStyle="1" w:styleId="head3CPMFF">
    <w:name w:val="head 3_CPMFF"/>
    <w:uiPriority w:val="3"/>
    <w:qFormat/>
    <w:rsid w:val="00A63B97"/>
    <w:pPr>
      <w:outlineLvl w:val="3"/>
    </w:pPr>
    <w:rPr>
      <w:rFonts w:ascii="Arial" w:hAnsi="Arial"/>
      <w:i/>
      <w:sz w:val="24"/>
    </w:rPr>
  </w:style>
  <w:style w:type="paragraph" w:customStyle="1" w:styleId="breakoutCPMFF">
    <w:name w:val="breakout_CPMFF"/>
    <w:next w:val="bodyCPMFF"/>
    <w:uiPriority w:val="5"/>
    <w:qFormat/>
    <w:rsid w:val="00A63B97"/>
    <w:pPr>
      <w:pBdr>
        <w:top w:val="dotted" w:sz="4" w:space="3" w:color="auto"/>
        <w:left w:val="dotted" w:sz="4" w:space="3" w:color="auto"/>
        <w:bottom w:val="dotted" w:sz="4" w:space="3" w:color="auto"/>
        <w:right w:val="dotted" w:sz="4" w:space="3" w:color="auto"/>
      </w:pBdr>
      <w:ind w:left="284" w:right="284"/>
    </w:pPr>
    <w:rPr>
      <w:rFonts w:ascii="Arial" w:hAnsi="Arial"/>
      <w:i/>
      <w:sz w:val="24"/>
    </w:rPr>
  </w:style>
  <w:style w:type="paragraph" w:customStyle="1" w:styleId="datebylineCPMFF">
    <w:name w:val="date/byline_CPMFF"/>
    <w:next w:val="bodyCPMFF"/>
    <w:uiPriority w:val="9"/>
    <w:qFormat/>
    <w:rsid w:val="00E24F04"/>
    <w:pPr>
      <w:pBdr>
        <w:top w:val="single" w:sz="4" w:space="3" w:color="auto"/>
      </w:pBdr>
    </w:pPr>
    <w:rPr>
      <w:rFonts w:ascii="Arial" w:hAnsi="Arial"/>
      <w:sz w:val="16"/>
    </w:rPr>
  </w:style>
  <w:style w:type="paragraph" w:customStyle="1" w:styleId="bullets1CPMFF">
    <w:name w:val="bullets 1_CPMFF"/>
    <w:basedOn w:val="bodyCPMFF"/>
    <w:next w:val="bodyCPMFF"/>
    <w:uiPriority w:val="7"/>
    <w:qFormat/>
    <w:rsid w:val="00A63B97"/>
    <w:pPr>
      <w:numPr>
        <w:numId w:val="1"/>
      </w:numPr>
      <w:ind w:left="714" w:hanging="357"/>
    </w:pPr>
  </w:style>
  <w:style w:type="paragraph" w:customStyle="1" w:styleId="bullets2CPMFF">
    <w:name w:val="bullets 2_CPMFF"/>
    <w:basedOn w:val="bullets1CPMFF"/>
    <w:next w:val="bodyCPMFF"/>
    <w:uiPriority w:val="7"/>
    <w:qFormat/>
    <w:rsid w:val="00A63B97"/>
    <w:pPr>
      <w:numPr>
        <w:numId w:val="2"/>
      </w:numPr>
    </w:pPr>
  </w:style>
  <w:style w:type="paragraph" w:customStyle="1" w:styleId="numberingCPMFF">
    <w:name w:val="numbering_CPMFF"/>
    <w:basedOn w:val="bodyCPMFF"/>
    <w:next w:val="bodyCPMFF"/>
    <w:uiPriority w:val="8"/>
    <w:qFormat/>
    <w:rsid w:val="00A63B97"/>
    <w:pPr>
      <w:numPr>
        <w:numId w:val="3"/>
      </w:numPr>
    </w:pPr>
  </w:style>
  <w:style w:type="character" w:customStyle="1" w:styleId="boldCPMFF">
    <w:name w:val="bold_CPMFF"/>
    <w:uiPriority w:val="6"/>
    <w:qFormat/>
    <w:rsid w:val="00B76597"/>
    <w:rPr>
      <w:rFonts w:ascii="Arial" w:hAnsi="Arial"/>
      <w:b/>
    </w:rPr>
  </w:style>
  <w:style w:type="character" w:customStyle="1" w:styleId="italicCPMFF">
    <w:name w:val="italic_CPMFF"/>
    <w:uiPriority w:val="6"/>
    <w:qFormat/>
    <w:rsid w:val="00B76597"/>
    <w:rPr>
      <w:rFonts w:ascii="Arial" w:hAnsi="Arial"/>
      <w:i/>
    </w:rPr>
  </w:style>
  <w:style w:type="paragraph" w:styleId="BalloonText">
    <w:name w:val="Balloon Text"/>
    <w:basedOn w:val="Normal"/>
    <w:link w:val="BalloonTextChar"/>
    <w:uiPriority w:val="99"/>
    <w:semiHidden/>
    <w:rsid w:val="00B76597"/>
    <w:rPr>
      <w:rFonts w:ascii="Tahoma" w:hAnsi="Tahoma" w:cs="Tahoma"/>
      <w:sz w:val="16"/>
      <w:szCs w:val="16"/>
    </w:rPr>
  </w:style>
  <w:style w:type="character" w:customStyle="1" w:styleId="BalloonTextChar">
    <w:name w:val="Balloon Text Char"/>
    <w:basedOn w:val="DefaultParagraphFont"/>
    <w:link w:val="BalloonText"/>
    <w:uiPriority w:val="99"/>
    <w:semiHidden/>
    <w:rsid w:val="00B76597"/>
    <w:rPr>
      <w:rFonts w:ascii="Tahoma" w:hAnsi="Tahoma" w:cs="Tahoma"/>
      <w:sz w:val="16"/>
      <w:szCs w:val="16"/>
    </w:rPr>
  </w:style>
  <w:style w:type="table" w:styleId="TableGrid">
    <w:name w:val="Table Grid"/>
    <w:basedOn w:val="TableNormal"/>
    <w:uiPriority w:val="59"/>
    <w:rsid w:val="00B76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E5288"/>
  </w:style>
  <w:style w:type="paragraph" w:customStyle="1" w:styleId="Partsofthearticle">
    <w:name w:val="Parts of the article"/>
    <w:basedOn w:val="Normal"/>
    <w:link w:val="PartsofthearticleChar"/>
    <w:qFormat/>
    <w:rsid w:val="00151C45"/>
    <w:rPr>
      <w:color w:val="548DD4"/>
      <w:sz w:val="24"/>
    </w:rPr>
  </w:style>
  <w:style w:type="character" w:customStyle="1" w:styleId="PartsofthearticleChar">
    <w:name w:val="Parts of the article Char"/>
    <w:basedOn w:val="DefaultParagraphFont"/>
    <w:link w:val="Partsofthearticle"/>
    <w:rsid w:val="00151C45"/>
    <w:rPr>
      <w:rFonts w:ascii="Arial" w:eastAsia="Times New Roman" w:hAnsi="Arial" w:cs="Times New Roman"/>
      <w:color w:val="548DD4"/>
      <w:sz w:val="24"/>
      <w:szCs w:val="24"/>
      <w:lang w:val="en-US"/>
    </w:rPr>
  </w:style>
  <w:style w:type="paragraph" w:styleId="ListParagraph">
    <w:name w:val="List Paragraph"/>
    <w:basedOn w:val="Normal"/>
    <w:uiPriority w:val="34"/>
    <w:qFormat/>
    <w:rsid w:val="00AC2539"/>
    <w:pPr>
      <w:ind w:left="720"/>
      <w:contextualSpacing/>
    </w:pPr>
  </w:style>
  <w:style w:type="paragraph" w:customStyle="1" w:styleId="thomson-article">
    <w:name w:val="thomson-article"/>
    <w:basedOn w:val="Normal"/>
    <w:rsid w:val="000C26D0"/>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BB5F6C"/>
    <w:rPr>
      <w:i/>
      <w:iCs/>
    </w:rPr>
  </w:style>
  <w:style w:type="character" w:styleId="Hyperlink">
    <w:name w:val="Hyperlink"/>
    <w:basedOn w:val="DefaultParagraphFont"/>
    <w:unhideWhenUsed/>
    <w:rsid w:val="00E05D69"/>
    <w:rPr>
      <w:color w:val="0000FF" w:themeColor="hyperlink"/>
      <w:u w:val="single"/>
    </w:rPr>
  </w:style>
  <w:style w:type="paragraph" w:styleId="Header">
    <w:name w:val="header"/>
    <w:basedOn w:val="Normal"/>
    <w:link w:val="HeaderChar"/>
    <w:uiPriority w:val="99"/>
    <w:semiHidden/>
    <w:rsid w:val="001D754F"/>
    <w:pPr>
      <w:tabs>
        <w:tab w:val="center" w:pos="4680"/>
        <w:tab w:val="right" w:pos="9360"/>
      </w:tabs>
    </w:pPr>
  </w:style>
  <w:style w:type="character" w:customStyle="1" w:styleId="HeaderChar">
    <w:name w:val="Header Char"/>
    <w:basedOn w:val="DefaultParagraphFont"/>
    <w:link w:val="Header"/>
    <w:uiPriority w:val="99"/>
    <w:semiHidden/>
    <w:rsid w:val="001D754F"/>
    <w:rPr>
      <w:rFonts w:ascii="Arial" w:eastAsia="Times New Roman" w:hAnsi="Arial" w:cs="Times New Roman"/>
      <w:szCs w:val="24"/>
      <w:lang w:val="en-US"/>
    </w:rPr>
  </w:style>
  <w:style w:type="paragraph" w:styleId="Footer">
    <w:name w:val="footer"/>
    <w:basedOn w:val="Normal"/>
    <w:link w:val="FooterChar"/>
    <w:uiPriority w:val="99"/>
    <w:semiHidden/>
    <w:rsid w:val="001D754F"/>
    <w:pPr>
      <w:tabs>
        <w:tab w:val="center" w:pos="4680"/>
        <w:tab w:val="right" w:pos="9360"/>
      </w:tabs>
    </w:pPr>
  </w:style>
  <w:style w:type="character" w:customStyle="1" w:styleId="FooterChar">
    <w:name w:val="Footer Char"/>
    <w:basedOn w:val="DefaultParagraphFont"/>
    <w:link w:val="Footer"/>
    <w:uiPriority w:val="99"/>
    <w:semiHidden/>
    <w:rsid w:val="001D754F"/>
    <w:rPr>
      <w:rFonts w:ascii="Arial" w:eastAsia="Times New Roman" w:hAnsi="Arial" w:cs="Times New Roman"/>
      <w:szCs w:val="24"/>
      <w:lang w:val="en-US"/>
    </w:rPr>
  </w:style>
  <w:style w:type="character" w:customStyle="1" w:styleId="Heading3Char">
    <w:name w:val="Heading 3 Char"/>
    <w:basedOn w:val="DefaultParagraphFont"/>
    <w:link w:val="Heading3"/>
    <w:uiPriority w:val="9"/>
    <w:rsid w:val="001D754F"/>
    <w:rPr>
      <w:rFonts w:ascii="Arial" w:hAnsi="Arial" w:cs="Arial"/>
      <w:b/>
      <w:bCs/>
      <w:i/>
      <w:iCs/>
      <w:color w:val="333333"/>
      <w:lang w:eastAsia="en-AU"/>
    </w:rPr>
  </w:style>
  <w:style w:type="paragraph" w:customStyle="1" w:styleId="Abody">
    <w:name w:val="Abody"/>
    <w:link w:val="AbodyCharChar"/>
    <w:qFormat/>
    <w:rsid w:val="00E74146"/>
    <w:pPr>
      <w:spacing w:after="80" w:line="250" w:lineRule="exact"/>
    </w:pPr>
    <w:rPr>
      <w:rFonts w:ascii="Arial" w:eastAsia="Times New Roman" w:hAnsi="Arial" w:cs="Times New Roman"/>
      <w:sz w:val="22"/>
    </w:rPr>
  </w:style>
  <w:style w:type="character" w:customStyle="1" w:styleId="AbodyCharChar">
    <w:name w:val="Abody Char Char"/>
    <w:basedOn w:val="DefaultParagraphFont"/>
    <w:link w:val="Abody"/>
    <w:rsid w:val="00E74146"/>
    <w:rPr>
      <w:rFonts w:ascii="Arial" w:eastAsia="Times New Roman" w:hAnsi="Arial" w:cs="Times New Roman"/>
      <w:sz w:val="22"/>
    </w:rPr>
  </w:style>
  <w:style w:type="paragraph" w:customStyle="1" w:styleId="ASubHeading">
    <w:name w:val="ASubHeading"/>
    <w:basedOn w:val="Abody"/>
    <w:next w:val="Abody"/>
    <w:qFormat/>
    <w:rsid w:val="00E74146"/>
    <w:rPr>
      <w:b/>
      <w:snapToGrid w:val="0"/>
      <w:color w:val="000000"/>
    </w:rPr>
  </w:style>
  <w:style w:type="paragraph" w:styleId="NormalWeb">
    <w:name w:val="Normal (Web)"/>
    <w:basedOn w:val="Normal"/>
    <w:uiPriority w:val="99"/>
    <w:unhideWhenUsed/>
    <w:rsid w:val="00B74FF8"/>
    <w:pPr>
      <w:spacing w:after="300"/>
    </w:pPr>
    <w:rPr>
      <w:rFonts w:ascii="Times New Roman" w:hAnsi="Times New Roman"/>
      <w:sz w:val="24"/>
    </w:rPr>
  </w:style>
  <w:style w:type="paragraph" w:customStyle="1" w:styleId="paragraph">
    <w:name w:val="paragraph"/>
    <w:basedOn w:val="Normal"/>
    <w:rsid w:val="00B74FF8"/>
    <w:pPr>
      <w:spacing w:before="100" w:beforeAutospacing="1" w:after="100" w:afterAutospacing="1"/>
    </w:pPr>
    <w:rPr>
      <w:rFonts w:ascii="Times New Roman" w:hAnsi="Times New Roman"/>
      <w:sz w:val="24"/>
    </w:rPr>
  </w:style>
  <w:style w:type="character" w:customStyle="1" w:styleId="Heading5Char">
    <w:name w:val="Heading 5 Char"/>
    <w:basedOn w:val="DefaultParagraphFont"/>
    <w:link w:val="Heading5"/>
    <w:uiPriority w:val="9"/>
    <w:semiHidden/>
    <w:rsid w:val="0099457A"/>
    <w:rPr>
      <w:rFonts w:eastAsiaTheme="majorEastAsia" w:cstheme="majorBidi"/>
      <w:color w:val="365F91" w:themeColor="accent1" w:themeShade="BF"/>
      <w:szCs w:val="24"/>
      <w:lang w:val="en-US"/>
    </w:rPr>
  </w:style>
  <w:style w:type="character" w:customStyle="1" w:styleId="thomson-article1">
    <w:name w:val="thomson-article1"/>
    <w:basedOn w:val="DefaultParagraphFont"/>
    <w:rsid w:val="0074790A"/>
  </w:style>
  <w:style w:type="character" w:styleId="CommentReference">
    <w:name w:val="annotation reference"/>
    <w:basedOn w:val="DefaultParagraphFont"/>
    <w:rsid w:val="00010092"/>
    <w:rPr>
      <w:sz w:val="16"/>
      <w:szCs w:val="16"/>
    </w:rPr>
  </w:style>
  <w:style w:type="paragraph" w:styleId="CommentText">
    <w:name w:val="annotation text"/>
    <w:basedOn w:val="Normal"/>
    <w:link w:val="CommentTextChar"/>
    <w:rsid w:val="00010092"/>
    <w:rPr>
      <w:rFonts w:ascii="Times New Roman" w:hAnsi="Times New Roman"/>
      <w:szCs w:val="20"/>
      <w:lang w:val="en-AU"/>
    </w:rPr>
  </w:style>
  <w:style w:type="character" w:customStyle="1" w:styleId="CommentTextChar">
    <w:name w:val="Comment Text Char"/>
    <w:basedOn w:val="DefaultParagraphFont"/>
    <w:link w:val="CommentText"/>
    <w:rsid w:val="000100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9470">
      <w:bodyDiv w:val="1"/>
      <w:marLeft w:val="0"/>
      <w:marRight w:val="0"/>
      <w:marTop w:val="0"/>
      <w:marBottom w:val="0"/>
      <w:divBdr>
        <w:top w:val="none" w:sz="0" w:space="0" w:color="auto"/>
        <w:left w:val="none" w:sz="0" w:space="0" w:color="auto"/>
        <w:bottom w:val="none" w:sz="0" w:space="0" w:color="auto"/>
        <w:right w:val="none" w:sz="0" w:space="0" w:color="auto"/>
      </w:divBdr>
    </w:div>
    <w:div w:id="955646714">
      <w:bodyDiv w:val="1"/>
      <w:marLeft w:val="0"/>
      <w:marRight w:val="0"/>
      <w:marTop w:val="0"/>
      <w:marBottom w:val="0"/>
      <w:divBdr>
        <w:top w:val="none" w:sz="0" w:space="0" w:color="auto"/>
        <w:left w:val="none" w:sz="0" w:space="0" w:color="auto"/>
        <w:bottom w:val="none" w:sz="0" w:space="0" w:color="auto"/>
        <w:right w:val="none" w:sz="0" w:space="0" w:color="auto"/>
      </w:divBdr>
    </w:div>
    <w:div w:id="1249147678">
      <w:bodyDiv w:val="1"/>
      <w:marLeft w:val="0"/>
      <w:marRight w:val="0"/>
      <w:marTop w:val="0"/>
      <w:marBottom w:val="0"/>
      <w:divBdr>
        <w:top w:val="none" w:sz="0" w:space="0" w:color="auto"/>
        <w:left w:val="none" w:sz="0" w:space="0" w:color="auto"/>
        <w:bottom w:val="none" w:sz="0" w:space="0" w:color="auto"/>
        <w:right w:val="none" w:sz="0" w:space="0" w:color="auto"/>
      </w:divBdr>
    </w:div>
    <w:div w:id="1417509480">
      <w:bodyDiv w:val="1"/>
      <w:marLeft w:val="0"/>
      <w:marRight w:val="0"/>
      <w:marTop w:val="0"/>
      <w:marBottom w:val="0"/>
      <w:divBdr>
        <w:top w:val="none" w:sz="0" w:space="0" w:color="auto"/>
        <w:left w:val="none" w:sz="0" w:space="0" w:color="auto"/>
        <w:bottom w:val="none" w:sz="0" w:space="0" w:color="auto"/>
        <w:right w:val="none" w:sz="0" w:space="0" w:color="auto"/>
      </w:divBdr>
    </w:div>
    <w:div w:id="1562058853">
      <w:bodyDiv w:val="1"/>
      <w:marLeft w:val="0"/>
      <w:marRight w:val="0"/>
      <w:marTop w:val="0"/>
      <w:marBottom w:val="0"/>
      <w:divBdr>
        <w:top w:val="none" w:sz="0" w:space="0" w:color="auto"/>
        <w:left w:val="none" w:sz="0" w:space="0" w:color="auto"/>
        <w:bottom w:val="none" w:sz="0" w:space="0" w:color="auto"/>
        <w:right w:val="none" w:sz="0" w:space="0" w:color="auto"/>
      </w:divBdr>
    </w:div>
    <w:div w:id="1881624542">
      <w:bodyDiv w:val="1"/>
      <w:marLeft w:val="0"/>
      <w:marRight w:val="0"/>
      <w:marTop w:val="0"/>
      <w:marBottom w:val="0"/>
      <w:divBdr>
        <w:top w:val="none" w:sz="0" w:space="0" w:color="auto"/>
        <w:left w:val="none" w:sz="0" w:space="0" w:color="auto"/>
        <w:bottom w:val="none" w:sz="0" w:space="0" w:color="auto"/>
        <w:right w:val="none" w:sz="0" w:space="0" w:color="auto"/>
      </w:divBdr>
    </w:div>
    <w:div w:id="1958246402">
      <w:bodyDiv w:val="1"/>
      <w:marLeft w:val="0"/>
      <w:marRight w:val="0"/>
      <w:marTop w:val="0"/>
      <w:marBottom w:val="0"/>
      <w:divBdr>
        <w:top w:val="none" w:sz="0" w:space="0" w:color="auto"/>
        <w:left w:val="none" w:sz="0" w:space="0" w:color="auto"/>
        <w:bottom w:val="none" w:sz="0" w:space="0" w:color="auto"/>
        <w:right w:val="none" w:sz="0" w:space="0" w:color="auto"/>
      </w:divBdr>
    </w:div>
    <w:div w:id="2007128494">
      <w:bodyDiv w:val="1"/>
      <w:marLeft w:val="0"/>
      <w:marRight w:val="0"/>
      <w:marTop w:val="0"/>
      <w:marBottom w:val="0"/>
      <w:divBdr>
        <w:top w:val="none" w:sz="0" w:space="0" w:color="auto"/>
        <w:left w:val="none" w:sz="0" w:space="0" w:color="auto"/>
        <w:bottom w:val="none" w:sz="0" w:space="0" w:color="auto"/>
        <w:right w:val="none" w:sz="0" w:space="0" w:color="auto"/>
      </w:divBdr>
    </w:div>
    <w:div w:id="21342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Thomson Reuters (Market)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Ball</dc:creator>
  <cp:lastModifiedBy>Mahncke, Nicola (Asia &amp; Emerging Markets)</cp:lastModifiedBy>
  <cp:revision>8</cp:revision>
  <dcterms:created xsi:type="dcterms:W3CDTF">2019-01-15T01:34:00Z</dcterms:created>
  <dcterms:modified xsi:type="dcterms:W3CDTF">2019-01-18T02:00:00Z</dcterms:modified>
</cp:coreProperties>
</file>